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86" w:rsidRPr="00C877E5" w:rsidRDefault="00C22986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</w:pPr>
      <w:bookmarkStart w:id="0" w:name="_GoBack"/>
      <w:bookmarkEnd w:id="0"/>
      <w:r w:rsidRPr="00C877E5"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  <w:t>ZÁKLADNÍ  ŠKOLA  TUCHOMĚŘICE, okres PRAHA-ZÁPAD</w:t>
      </w:r>
    </w:p>
    <w:p w:rsidR="00C22986" w:rsidRPr="00C877E5" w:rsidRDefault="00C22986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bCs/>
          <w:color w:val="0066FF"/>
          <w:sz w:val="24"/>
          <w:szCs w:val="20"/>
          <w:lang w:eastAsia="cs-CZ"/>
        </w:rPr>
      </w:pPr>
      <w:r w:rsidRPr="00C877E5">
        <w:rPr>
          <w:rFonts w:ascii="Times New Roman" w:eastAsia="Times New Roman" w:hAnsi="Times New Roman" w:cs="Times New Roman"/>
          <w:b/>
          <w:bCs/>
          <w:color w:val="0066FF"/>
          <w:sz w:val="24"/>
          <w:szCs w:val="20"/>
          <w:lang w:eastAsia="cs-CZ"/>
        </w:rPr>
        <w:t>Školní 70,   252 67  Tuchoměřice</w:t>
      </w:r>
    </w:p>
    <w:p w:rsidR="00C22986" w:rsidRPr="00C877E5" w:rsidRDefault="00C22986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</w:pPr>
      <w:r w:rsidRPr="00C877E5">
        <w:rPr>
          <w:rFonts w:ascii="Times New Roman" w:eastAsia="Times New Roman" w:hAnsi="Times New Roman" w:cs="Times New Roman"/>
          <w:b/>
          <w:color w:val="0066FF"/>
          <w:sz w:val="24"/>
          <w:szCs w:val="20"/>
          <w:lang w:eastAsia="cs-CZ"/>
        </w:rPr>
        <w:t>Telefon: 220951015, 736770679</w:t>
      </w:r>
    </w:p>
    <w:p w:rsidR="00C22986" w:rsidRPr="00C877E5" w:rsidRDefault="00C22986" w:rsidP="00C877E5">
      <w:pPr>
        <w:rPr>
          <w:color w:val="0066FF"/>
        </w:rPr>
      </w:pPr>
    </w:p>
    <w:p w:rsidR="00C22986" w:rsidRPr="00C877E5" w:rsidRDefault="00C22986" w:rsidP="00C877E5">
      <w:pPr>
        <w:rPr>
          <w:color w:val="0066FF"/>
        </w:rPr>
      </w:pPr>
    </w:p>
    <w:p w:rsidR="00C22986" w:rsidRPr="00C877E5" w:rsidRDefault="00C22986" w:rsidP="00C877E5">
      <w:pPr>
        <w:keepNext/>
        <w:widowControl w:val="0"/>
        <w:tabs>
          <w:tab w:val="left" w:pos="567"/>
        </w:tabs>
        <w:spacing w:after="0" w:line="240" w:lineRule="auto"/>
        <w:ind w:right="566"/>
        <w:jc w:val="center"/>
        <w:outlineLvl w:val="1"/>
        <w:rPr>
          <w:rFonts w:ascii="Arial" w:eastAsia="Times New Roman" w:hAnsi="Arial" w:cs="Arial"/>
          <w:b/>
          <w:color w:val="0066FF"/>
          <w:sz w:val="24"/>
          <w:szCs w:val="20"/>
          <w:lang w:eastAsia="cs-CZ"/>
        </w:rPr>
      </w:pPr>
      <w:r w:rsidRPr="00C877E5">
        <w:rPr>
          <w:rFonts w:ascii="Arial" w:eastAsia="Times New Roman" w:hAnsi="Arial" w:cs="Arial"/>
          <w:b/>
          <w:color w:val="0066FF"/>
          <w:sz w:val="24"/>
          <w:szCs w:val="20"/>
          <w:lang w:eastAsia="cs-CZ"/>
        </w:rPr>
        <w:t>Výroční zpráva o činnosti školy za rok 201</w:t>
      </w:r>
      <w:r w:rsidR="00826CFD">
        <w:rPr>
          <w:rFonts w:ascii="Arial" w:eastAsia="Times New Roman" w:hAnsi="Arial" w:cs="Arial"/>
          <w:b/>
          <w:color w:val="0066FF"/>
          <w:sz w:val="24"/>
          <w:szCs w:val="20"/>
          <w:lang w:eastAsia="cs-CZ"/>
        </w:rPr>
        <w:t>5</w:t>
      </w:r>
      <w:r w:rsidRPr="00C877E5">
        <w:rPr>
          <w:rFonts w:ascii="Arial" w:eastAsia="Times New Roman" w:hAnsi="Arial" w:cs="Arial"/>
          <w:b/>
          <w:color w:val="0066FF"/>
          <w:sz w:val="24"/>
          <w:szCs w:val="20"/>
          <w:lang w:eastAsia="cs-CZ"/>
        </w:rPr>
        <w:t>-201</w:t>
      </w:r>
      <w:r w:rsidR="00826CFD">
        <w:rPr>
          <w:rFonts w:ascii="Arial" w:eastAsia="Times New Roman" w:hAnsi="Arial" w:cs="Arial"/>
          <w:b/>
          <w:color w:val="0066FF"/>
          <w:sz w:val="24"/>
          <w:szCs w:val="20"/>
          <w:lang w:eastAsia="cs-CZ"/>
        </w:rPr>
        <w:t>6</w:t>
      </w:r>
    </w:p>
    <w:p w:rsidR="00C22986" w:rsidRPr="00C877E5" w:rsidRDefault="00C22986" w:rsidP="00C877E5">
      <w:pPr>
        <w:rPr>
          <w:color w:val="0066FF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  <w:r w:rsidRPr="00C877E5">
        <w:rPr>
          <w:rFonts w:ascii="Arial" w:eastAsia="Times New Roman" w:hAnsi="Arial" w:cs="Arial"/>
          <w:sz w:val="24"/>
          <w:szCs w:val="24"/>
          <w:lang w:eastAsia="cs-CZ"/>
        </w:rPr>
        <w:t>Charakteristika školy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Základní škola Tuchoměřice je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čtyřt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řídní škola s 1. –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5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. ročníkem a s družinou. V první třídě bylo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21 žáků 1. ročníku, ve druhé třídě 13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žáků 2.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ročníku a v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e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třetí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třídě bylo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14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žáků  3. ročníku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ve 4. třídě 16 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žáků 4. ročníku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 a 7 žáků 5. ročníku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. Ve školní družině bylo zapsáno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60 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dětí.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  <w:r w:rsidRPr="00C877E5">
        <w:rPr>
          <w:rFonts w:ascii="Arial" w:eastAsia="Times New Roman" w:hAnsi="Arial" w:cs="Arial"/>
          <w:sz w:val="24"/>
          <w:szCs w:val="24"/>
          <w:lang w:eastAsia="cs-CZ"/>
        </w:rPr>
        <w:t>Přehled učebních plánů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Ve všech ročnících jsme vyučovali podle Školního vzdělávacího plánu Základní školy Tuchoměřice.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  <w:r w:rsidRPr="00C877E5">
        <w:rPr>
          <w:rFonts w:ascii="Arial" w:eastAsia="Times New Roman" w:hAnsi="Arial" w:cs="Arial"/>
          <w:sz w:val="24"/>
          <w:szCs w:val="24"/>
          <w:lang w:eastAsia="cs-CZ"/>
        </w:rPr>
        <w:t>Údaje o pracovnících školy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Ve škole pracuj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e 5 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žen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 a 1 muž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jako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pedagogičtí pracovníci 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a 1 muž jako školník.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 Aprobace pedagogů: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Mgr. Iva Zavadilová – Ped. Fak. UK – obor učitelství pro školy pro mládež vyžadující  zvláštní péči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Mgr. Daniela Lechnerová - Ped. Fak. UK – obor učitelství pro speciální školy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Ivana Roučková –  střední pedagogická škola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Mgr. </w:t>
      </w:r>
      <w:smartTag w:uri="urn:schemas-microsoft-com:office:smarttags" w:element="PersonName">
        <w:r w:rsidRPr="00C877E5">
          <w:rPr>
            <w:rFonts w:ascii="Arial" w:eastAsia="Times New Roman" w:hAnsi="Arial" w:cs="Times New Roman"/>
            <w:sz w:val="24"/>
            <w:szCs w:val="24"/>
            <w:lang w:eastAsia="cs-CZ"/>
          </w:rPr>
          <w:t>Irena Červenková</w:t>
        </w:r>
      </w:smartTag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- Ped. Fak. UK – obor tělesná výchova a anglický jazyk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Mgr. Lukáš Kollarčík –</w:t>
      </w:r>
      <w:r w:rsidR="00826CFD">
        <w:rPr>
          <w:rFonts w:ascii="Arial" w:eastAsia="Times New Roman" w:hAnsi="Arial" w:cs="Times New Roman"/>
          <w:sz w:val="24"/>
          <w:szCs w:val="24"/>
          <w:lang w:eastAsia="cs-CZ"/>
        </w:rPr>
        <w:t>Ostravská Univerzita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 – obor historie</w:t>
      </w:r>
      <w:r w:rsidR="00826CFD">
        <w:rPr>
          <w:rFonts w:ascii="Arial" w:eastAsia="Times New Roman" w:hAnsi="Arial" w:cs="Times New Roman"/>
          <w:sz w:val="24"/>
          <w:szCs w:val="24"/>
          <w:lang w:eastAsia="cs-CZ"/>
        </w:rPr>
        <w:t>, Ped. Fak. KU Ružomberok, obor speciální pedagogika učitelství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Mgr. Barbora Jedličková – speciální pedagogika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Martina Chalupová – střední pedagogická škola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Ve škole učí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jedna 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učitelk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a 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bez příslušného vzdělání. Délka započtené pedagogické praxe je průměrně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17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let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Učitelka bez příslušného vzdělání učí jen několik hodin týdně, protože nemůžeme přes veškerou snahu sehnat kvalifikovaného pedagoga.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Kvalifikovanost výuky na škole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Plnou kvalifikaci má ředitelka školy Mgr. Iva Zavadilová a Mgr. Daniela Lechnerová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, Mgr. Irena Červenková, Mgr. Barbora Jedličková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a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obě vychovatelky.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  <w:r w:rsidRPr="00C877E5">
        <w:rPr>
          <w:rFonts w:ascii="Arial" w:eastAsia="Times New Roman" w:hAnsi="Arial" w:cs="Arial"/>
          <w:sz w:val="24"/>
          <w:szCs w:val="24"/>
          <w:lang w:eastAsia="cs-CZ"/>
        </w:rPr>
        <w:t>Další vzdělávání pedagogických pracovníků</w:t>
      </w:r>
    </w:p>
    <w:p w:rsidR="00C22986" w:rsidRDefault="00C22986" w:rsidP="0046068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Dalšího vzdělávání pedagogických pracovníků se pravidelně zúčastňujeme. Využívaly jsme nabídky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VISK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Mgr. Lukáš Kollarčík </w:t>
      </w:r>
      <w:r w:rsidR="00826CFD">
        <w:rPr>
          <w:rFonts w:ascii="Arial" w:eastAsia="Times New Roman" w:hAnsi="Arial" w:cs="Times New Roman"/>
          <w:sz w:val="24"/>
          <w:szCs w:val="24"/>
          <w:lang w:eastAsia="cs-CZ"/>
        </w:rPr>
        <w:t xml:space="preserve">studoval a úspěšně dokončil studium na KU Ružomberok,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 obor speciální pedagogika učitelství.</w:t>
      </w:r>
    </w:p>
    <w:p w:rsidR="005F4CCF" w:rsidRDefault="005F4CCF" w:rsidP="00C877E5">
      <w:pPr>
        <w:keepNext/>
        <w:spacing w:after="0" w:line="240" w:lineRule="auto"/>
        <w:outlineLvl w:val="2"/>
        <w:rPr>
          <w:rFonts w:ascii="Arial" w:eastAsia="Arial Unicode MS" w:hAnsi="Arial" w:cs="Arial"/>
          <w:sz w:val="24"/>
          <w:szCs w:val="24"/>
          <w:u w:val="single"/>
          <w:lang w:eastAsia="cs-CZ"/>
        </w:rPr>
      </w:pPr>
    </w:p>
    <w:p w:rsidR="00C22986" w:rsidRPr="00F61E7F" w:rsidRDefault="00C22986" w:rsidP="00C877E5">
      <w:pPr>
        <w:keepNext/>
        <w:spacing w:after="0" w:line="240" w:lineRule="auto"/>
        <w:outlineLvl w:val="2"/>
        <w:rPr>
          <w:rFonts w:ascii="Arial" w:eastAsia="Arial Unicode MS" w:hAnsi="Arial" w:cs="Arial"/>
          <w:sz w:val="24"/>
          <w:szCs w:val="24"/>
          <w:u w:val="single"/>
          <w:lang w:eastAsia="cs-CZ"/>
        </w:rPr>
      </w:pPr>
      <w:r w:rsidRPr="00F61E7F">
        <w:rPr>
          <w:rFonts w:ascii="Arial" w:eastAsia="Arial Unicode MS" w:hAnsi="Arial" w:cs="Arial"/>
          <w:sz w:val="24"/>
          <w:szCs w:val="24"/>
          <w:u w:val="single"/>
          <w:lang w:eastAsia="cs-CZ"/>
        </w:rPr>
        <w:t>Zápis dětí do 1. ročníku</w:t>
      </w:r>
    </w:p>
    <w:p w:rsidR="00C22986" w:rsidRPr="00F61E7F" w:rsidRDefault="00C22986" w:rsidP="00C877E5">
      <w:pPr>
        <w:keepNext/>
        <w:spacing w:after="0" w:line="240" w:lineRule="auto"/>
        <w:outlineLvl w:val="2"/>
        <w:rPr>
          <w:rFonts w:ascii="Arial" w:eastAsia="Arial Unicode MS" w:hAnsi="Arial" w:cs="Times New Roman"/>
          <w:sz w:val="24"/>
          <w:szCs w:val="24"/>
          <w:u w:val="single"/>
          <w:lang w:eastAsia="cs-CZ"/>
        </w:rPr>
      </w:pPr>
      <w:r w:rsidRPr="00F61E7F">
        <w:rPr>
          <w:rFonts w:ascii="Arial" w:eastAsia="Arial Unicode MS" w:hAnsi="Arial" w:cs="Times New Roman"/>
          <w:sz w:val="24"/>
          <w:szCs w:val="24"/>
          <w:lang w:eastAsia="cs-CZ"/>
        </w:rPr>
        <w:t xml:space="preserve">     K zápisu do 1. ročníku se dostavilo </w:t>
      </w:r>
      <w:r>
        <w:rPr>
          <w:rFonts w:ascii="Arial" w:eastAsia="Arial Unicode MS" w:hAnsi="Arial" w:cs="Times New Roman"/>
          <w:sz w:val="24"/>
          <w:szCs w:val="24"/>
          <w:lang w:eastAsia="cs-CZ"/>
        </w:rPr>
        <w:t>19</w:t>
      </w:r>
      <w:r w:rsidRPr="00F61E7F">
        <w:rPr>
          <w:rFonts w:ascii="Arial" w:eastAsia="Arial Unicode MS" w:hAnsi="Arial" w:cs="Times New Roman"/>
          <w:sz w:val="24"/>
          <w:szCs w:val="24"/>
          <w:lang w:eastAsia="cs-CZ"/>
        </w:rPr>
        <w:t xml:space="preserve"> dětí. O odklad požádal</w:t>
      </w:r>
      <w:r>
        <w:rPr>
          <w:rFonts w:ascii="Arial" w:eastAsia="Arial Unicode MS" w:hAnsi="Arial" w:cs="Times New Roman"/>
          <w:sz w:val="24"/>
          <w:szCs w:val="24"/>
          <w:lang w:eastAsia="cs-CZ"/>
        </w:rPr>
        <w:t xml:space="preserve">i rodiče jednoho dítěte, žádosti bylo vyhověno. </w:t>
      </w:r>
      <w:r w:rsidRPr="00F61E7F">
        <w:rPr>
          <w:rFonts w:ascii="Arial" w:eastAsia="Arial Unicode MS" w:hAnsi="Arial" w:cs="Times New Roman"/>
          <w:sz w:val="24"/>
          <w:szCs w:val="24"/>
          <w:lang w:eastAsia="cs-CZ"/>
        </w:rPr>
        <w:t xml:space="preserve">. </w:t>
      </w:r>
    </w:p>
    <w:p w:rsidR="00C22986" w:rsidRPr="00F61E7F" w:rsidRDefault="00C22986" w:rsidP="00C877E5">
      <w:pPr>
        <w:ind w:left="360"/>
        <w:rPr>
          <w:sz w:val="24"/>
          <w:szCs w:val="24"/>
        </w:rPr>
      </w:pPr>
    </w:p>
    <w:p w:rsidR="00C22986" w:rsidRPr="00F61E7F" w:rsidRDefault="00C22986" w:rsidP="00C877E5">
      <w:pPr>
        <w:ind w:left="360"/>
        <w:rPr>
          <w:b/>
          <w:bCs/>
          <w:sz w:val="24"/>
          <w:szCs w:val="24"/>
        </w:rPr>
      </w:pPr>
    </w:p>
    <w:p w:rsidR="00C22986" w:rsidRPr="00C877E5" w:rsidRDefault="00C22986" w:rsidP="00C877E5">
      <w:pPr>
        <w:keepNext/>
        <w:tabs>
          <w:tab w:val="left" w:pos="709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C877E5">
        <w:rPr>
          <w:rFonts w:ascii="Arial" w:eastAsia="Times New Roman" w:hAnsi="Arial" w:cs="Arial"/>
          <w:b/>
          <w:sz w:val="24"/>
          <w:szCs w:val="20"/>
          <w:lang w:eastAsia="cs-CZ"/>
        </w:rPr>
        <w:t>Přehledné údaje o výsledcích vzdělávání žáků</w:t>
      </w:r>
    </w:p>
    <w:p w:rsidR="00C22986" w:rsidRPr="00C877E5" w:rsidRDefault="00C22986" w:rsidP="00C877E5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1"/>
        <w:gridCol w:w="1351"/>
        <w:gridCol w:w="1374"/>
        <w:gridCol w:w="1450"/>
        <w:gridCol w:w="1450"/>
        <w:gridCol w:w="1286"/>
      </w:tblGrid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pPr>
              <w:rPr>
                <w:b/>
                <w:bCs/>
              </w:rPr>
            </w:pPr>
            <w:r w:rsidRPr="00C877E5">
              <w:rPr>
                <w:b/>
                <w:bCs/>
              </w:rPr>
              <w:t>Předmět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pPr>
              <w:rPr>
                <w:b/>
                <w:bCs/>
              </w:rPr>
            </w:pPr>
            <w:r w:rsidRPr="00C877E5">
              <w:rPr>
                <w:b/>
                <w:bCs/>
              </w:rPr>
              <w:t>1. ročník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pPr>
              <w:rPr>
                <w:b/>
                <w:bCs/>
              </w:rPr>
            </w:pPr>
            <w:r w:rsidRPr="00C877E5">
              <w:rPr>
                <w:b/>
                <w:bCs/>
              </w:rPr>
              <w:t>2. ročník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pPr>
              <w:rPr>
                <w:b/>
                <w:bCs/>
              </w:rPr>
            </w:pPr>
            <w:r w:rsidRPr="00C877E5">
              <w:rPr>
                <w:b/>
                <w:bCs/>
              </w:rPr>
              <w:t>3. ročník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pPr>
              <w:rPr>
                <w:b/>
                <w:bCs/>
              </w:rPr>
            </w:pPr>
            <w:r w:rsidRPr="00C877E5">
              <w:rPr>
                <w:b/>
                <w:bCs/>
              </w:rPr>
              <w:t>4. ročník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Pr="00C877E5" w:rsidRDefault="00BB2E86" w:rsidP="00BB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ročník</w:t>
            </w:r>
          </w:p>
        </w:tc>
      </w:tr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Český jazyk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AB3C08">
            <w:r w:rsidRPr="00C877E5">
              <w:t>1</w:t>
            </w:r>
            <w:r>
              <w:t>,</w:t>
            </w:r>
            <w:r w:rsidR="00AB3C08">
              <w:t>857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73DD1">
            <w:r>
              <w:t>1,</w:t>
            </w:r>
            <w:r w:rsidR="00973DD1"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73DD1">
            <w:r w:rsidRPr="00C877E5">
              <w:t>1</w:t>
            </w:r>
            <w:r w:rsidR="00973DD1">
              <w:t>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9569B7" w:rsidP="004009A2">
            <w:r>
              <w:t>1,688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Default="00BB2E86" w:rsidP="00BB2E86">
            <w:pPr>
              <w:jc w:val="center"/>
            </w:pPr>
            <w:r>
              <w:t>1,714</w:t>
            </w:r>
          </w:p>
        </w:tc>
      </w:tr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Matematika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AB3C08">
            <w:r w:rsidRPr="00C877E5">
              <w:t>1</w:t>
            </w:r>
            <w:r>
              <w:t>,</w:t>
            </w:r>
            <w:r w:rsidR="00AB3C08">
              <w:t>857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73DD1">
            <w:r w:rsidRPr="00C877E5">
              <w:t>1</w:t>
            </w:r>
            <w:r>
              <w:t>,</w:t>
            </w:r>
            <w:r w:rsidR="00973DD1"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73DD1">
            <w:r w:rsidRPr="00C877E5">
              <w:t>1</w:t>
            </w:r>
            <w:r>
              <w:t>,</w:t>
            </w:r>
            <w:r w:rsidR="00973DD1"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569B7">
            <w:r>
              <w:t>1</w:t>
            </w:r>
            <w:r w:rsidR="009569B7">
              <w:t>,25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Default="00BB2E86" w:rsidP="00BB2E86">
            <w:pPr>
              <w:jc w:val="center"/>
            </w:pPr>
            <w:r>
              <w:t>1,857</w:t>
            </w:r>
          </w:p>
        </w:tc>
      </w:tr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Prvouka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4009A2">
            <w:r w:rsidRPr="00C877E5">
              <w:t>1</w:t>
            </w:r>
            <w:r w:rsidR="00AB3C08">
              <w:t>,286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73DD1">
            <w:r>
              <w:t>1,</w:t>
            </w:r>
            <w:r w:rsidR="00973DD1"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73DD1">
            <w:r>
              <w:t>1,</w:t>
            </w:r>
            <w:r w:rsidR="00973DD1"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--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Pr="00C877E5" w:rsidRDefault="00BB2E86" w:rsidP="00BB2E86">
            <w:pPr>
              <w:jc w:val="center"/>
            </w:pPr>
            <w:r>
              <w:t>--</w:t>
            </w:r>
          </w:p>
        </w:tc>
      </w:tr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Pracovní činnosti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  <w:r w:rsidR="00973DD1">
              <w:t>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Pr="00C877E5" w:rsidRDefault="00BB2E86" w:rsidP="00BB2E86">
            <w:pPr>
              <w:jc w:val="center"/>
            </w:pPr>
            <w:r>
              <w:t>1,143</w:t>
            </w:r>
          </w:p>
        </w:tc>
      </w:tr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Výtvarná výchova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Pr="00C877E5" w:rsidRDefault="00BB2E86" w:rsidP="00BB2E86">
            <w:pPr>
              <w:jc w:val="center"/>
            </w:pPr>
            <w:r>
              <w:t>1</w:t>
            </w:r>
          </w:p>
        </w:tc>
      </w:tr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Tělesná výchova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Pr="00C877E5" w:rsidRDefault="00BB2E86" w:rsidP="00BB2E86">
            <w:pPr>
              <w:jc w:val="center"/>
            </w:pPr>
            <w:r>
              <w:t>1</w:t>
            </w:r>
          </w:p>
        </w:tc>
      </w:tr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Hudební výchova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Pr="00C877E5" w:rsidRDefault="00BB2E86" w:rsidP="00BB2E86">
            <w:pPr>
              <w:jc w:val="center"/>
            </w:pPr>
            <w:r>
              <w:t>1</w:t>
            </w:r>
          </w:p>
        </w:tc>
      </w:tr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Anglický jazyk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73DD1">
            <w:r w:rsidRPr="00C877E5">
              <w:t>1,</w:t>
            </w:r>
            <w:r w:rsidR="00973DD1"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73DD1">
            <w:r>
              <w:t>1,</w:t>
            </w:r>
            <w:r w:rsidR="00973DD1"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9569B7" w:rsidP="004009A2">
            <w:r>
              <w:t>1,625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Default="00BB2E86" w:rsidP="00BB2E86">
            <w:pPr>
              <w:jc w:val="center"/>
            </w:pPr>
            <w:r>
              <w:t>1,429</w:t>
            </w:r>
          </w:p>
        </w:tc>
      </w:tr>
      <w:tr w:rsidR="00BB2E86" w:rsidRPr="00C877E5" w:rsidTr="00BB2E86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Přírodověda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4009A2">
            <w:r>
              <w:t>1,6</w:t>
            </w:r>
            <w:r w:rsidR="009569B7">
              <w:t>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Default="00BB2E86" w:rsidP="00BB2E86">
            <w:pPr>
              <w:jc w:val="center"/>
            </w:pPr>
            <w:r>
              <w:t>1,286</w:t>
            </w:r>
          </w:p>
        </w:tc>
      </w:tr>
      <w:tr w:rsidR="00BB2E86" w:rsidRPr="00C877E5" w:rsidTr="00BB2E86">
        <w:trPr>
          <w:trHeight w:val="3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Vlastivěda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9569B7">
            <w:r>
              <w:t>1,</w:t>
            </w:r>
            <w:r w:rsidR="009569B7"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Default="00BB2E86" w:rsidP="00BB2E86">
            <w:pPr>
              <w:jc w:val="center"/>
            </w:pPr>
            <w:r>
              <w:t>1,286</w:t>
            </w:r>
          </w:p>
        </w:tc>
      </w:tr>
      <w:tr w:rsidR="009569B7" w:rsidRPr="00C877E5" w:rsidTr="00973DD1">
        <w:trPr>
          <w:trHeight w:val="3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B7" w:rsidRPr="00C877E5" w:rsidRDefault="009569B7" w:rsidP="009569B7">
            <w:r>
              <w:t>Informatika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B7" w:rsidRPr="00C877E5" w:rsidRDefault="00973DD1" w:rsidP="00973DD1">
            <w: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B7" w:rsidRPr="00C877E5" w:rsidRDefault="00973DD1" w:rsidP="00973DD1">
            <w:r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B7" w:rsidRPr="00C877E5" w:rsidRDefault="00973DD1" w:rsidP="00973DD1">
            <w:r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B7" w:rsidRDefault="00973DD1" w:rsidP="00973DD1">
            <w:r>
              <w:t>--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B7" w:rsidRDefault="009569B7" w:rsidP="009569B7">
            <w:pPr>
              <w:jc w:val="center"/>
            </w:pPr>
            <w:r>
              <w:t>1,429</w:t>
            </w:r>
          </w:p>
        </w:tc>
      </w:tr>
      <w:tr w:rsidR="00BB2E86" w:rsidRPr="00C877E5" w:rsidTr="00BB2E86">
        <w:trPr>
          <w:trHeight w:val="24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C877E5">
            <w:r w:rsidRPr="00C877E5">
              <w:t>Chování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BB2E86">
            <w:r w:rsidRPr="00C877E5"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BB2E86">
            <w: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BB2E86">
            <w:r w:rsidRPr="00C877E5"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86" w:rsidRPr="00C877E5" w:rsidRDefault="00BB2E86" w:rsidP="00BB2E86">
            <w:r w:rsidRPr="00C877E5"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86" w:rsidRPr="00C877E5" w:rsidRDefault="00BB2E86" w:rsidP="00BB2E86">
            <w:pPr>
              <w:jc w:val="center"/>
            </w:pPr>
            <w:r>
              <w:t>1</w:t>
            </w:r>
          </w:p>
        </w:tc>
      </w:tr>
    </w:tbl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</w:t>
      </w:r>
    </w:p>
    <w:p w:rsidR="00C22986" w:rsidRPr="00C877E5" w:rsidRDefault="00C22986" w:rsidP="00C877E5">
      <w:pPr>
        <w:ind w:left="360"/>
      </w:pPr>
    </w:p>
    <w:p w:rsidR="00C22986" w:rsidRPr="00C877E5" w:rsidRDefault="00C22986" w:rsidP="00C877E5">
      <w:pPr>
        <w:keepNext/>
        <w:tabs>
          <w:tab w:val="left" w:pos="709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C877E5">
        <w:rPr>
          <w:rFonts w:ascii="Arial" w:eastAsia="Times New Roman" w:hAnsi="Arial" w:cs="Arial"/>
          <w:b/>
          <w:sz w:val="24"/>
          <w:szCs w:val="20"/>
          <w:lang w:eastAsia="cs-CZ"/>
        </w:rPr>
        <w:t>Údaje o výsledcích ČŠI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  <w:r w:rsidRPr="00C877E5">
        <w:rPr>
          <w:rFonts w:ascii="Arial" w:eastAsia="Times New Roman" w:hAnsi="Arial" w:cs="Arial"/>
          <w:sz w:val="24"/>
          <w:szCs w:val="24"/>
          <w:lang w:eastAsia="cs-CZ"/>
        </w:rPr>
        <w:t xml:space="preserve">    V tomto školním roce </w:t>
      </w:r>
      <w:r>
        <w:rPr>
          <w:rFonts w:ascii="Arial" w:eastAsia="Times New Roman" w:hAnsi="Arial" w:cs="Arial"/>
          <w:sz w:val="24"/>
          <w:szCs w:val="24"/>
          <w:lang w:eastAsia="cs-CZ"/>
        </w:rPr>
        <w:t>ne</w:t>
      </w:r>
      <w:r w:rsidRPr="00C877E5">
        <w:rPr>
          <w:rFonts w:ascii="Arial" w:eastAsia="Times New Roman" w:hAnsi="Arial" w:cs="Arial"/>
          <w:sz w:val="24"/>
          <w:szCs w:val="24"/>
          <w:lang w:eastAsia="cs-CZ"/>
        </w:rPr>
        <w:t>byla provedena kontrola ČŠI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C877E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C22986" w:rsidRPr="00C877E5" w:rsidRDefault="00C22986" w:rsidP="00C877E5">
      <w:pPr>
        <w:ind w:left="360"/>
        <w:rPr>
          <w:rFonts w:ascii="Arial" w:hAnsi="Arial" w:cs="Arial"/>
        </w:rPr>
      </w:pPr>
    </w:p>
    <w:p w:rsidR="00C22986" w:rsidRPr="00C877E5" w:rsidRDefault="00C22986" w:rsidP="00C877E5">
      <w:pPr>
        <w:keepNext/>
        <w:tabs>
          <w:tab w:val="left" w:pos="709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C877E5">
        <w:rPr>
          <w:rFonts w:ascii="Arial" w:eastAsia="Times New Roman" w:hAnsi="Arial" w:cs="Arial"/>
          <w:b/>
          <w:sz w:val="24"/>
          <w:szCs w:val="20"/>
          <w:lang w:eastAsia="cs-CZ"/>
        </w:rPr>
        <w:t>Plnění učebních plánů</w:t>
      </w:r>
    </w:p>
    <w:p w:rsidR="00C22986" w:rsidRPr="00C877E5" w:rsidRDefault="00C22986" w:rsidP="00776823">
      <w:pPr>
        <w:spacing w:after="0" w:line="240" w:lineRule="auto"/>
        <w:ind w:left="360"/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Učební plány byly splněny ve všech ročnících a ve všech předmětech. </w:t>
      </w:r>
    </w:p>
    <w:p w:rsidR="00C22986" w:rsidRDefault="00C22986" w:rsidP="00C877E5">
      <w:pPr>
        <w:keepNext/>
        <w:tabs>
          <w:tab w:val="left" w:pos="709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:rsidR="00C22986" w:rsidRPr="00C877E5" w:rsidRDefault="00C22986" w:rsidP="00C877E5">
      <w:pPr>
        <w:keepNext/>
        <w:tabs>
          <w:tab w:val="left" w:pos="709"/>
        </w:tabs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C877E5">
        <w:rPr>
          <w:rFonts w:ascii="Arial" w:eastAsia="Times New Roman" w:hAnsi="Arial" w:cs="Arial"/>
          <w:b/>
          <w:sz w:val="24"/>
          <w:szCs w:val="20"/>
          <w:lang w:eastAsia="cs-CZ"/>
        </w:rPr>
        <w:t>Mimoškolní aktivita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  <w:r w:rsidRPr="00C877E5">
        <w:rPr>
          <w:rFonts w:ascii="Arial" w:eastAsia="Times New Roman" w:hAnsi="Arial" w:cs="Arial"/>
          <w:sz w:val="24"/>
          <w:szCs w:val="24"/>
          <w:lang w:eastAsia="cs-CZ"/>
        </w:rPr>
        <w:t xml:space="preserve">     V tomto školním roce pracoval ve škole keramický kroužek pod vedením paní </w:t>
      </w:r>
      <w:r w:rsidR="00AB3C08">
        <w:rPr>
          <w:rFonts w:ascii="Arial" w:eastAsia="Times New Roman" w:hAnsi="Arial" w:cs="Arial"/>
          <w:sz w:val="24"/>
          <w:szCs w:val="24"/>
          <w:lang w:eastAsia="cs-CZ"/>
        </w:rPr>
        <w:t>vychovatelky</w:t>
      </w:r>
      <w:r w:rsidRPr="00C877E5">
        <w:rPr>
          <w:rFonts w:ascii="Arial" w:eastAsia="Times New Roman" w:hAnsi="Arial" w:cs="Arial"/>
          <w:sz w:val="24"/>
          <w:szCs w:val="24"/>
          <w:lang w:eastAsia="cs-CZ"/>
        </w:rPr>
        <w:t xml:space="preserve"> Roučkové</w:t>
      </w:r>
      <w:r w:rsidR="00AB3C08">
        <w:rPr>
          <w:rFonts w:ascii="Arial" w:eastAsia="Times New Roman" w:hAnsi="Arial" w:cs="Arial"/>
          <w:sz w:val="24"/>
          <w:szCs w:val="24"/>
          <w:lang w:eastAsia="cs-CZ"/>
        </w:rPr>
        <w:t xml:space="preserve"> a výtvarný kroužek pod vedením paní vychovatelky Chalupové</w:t>
      </w:r>
      <w:r w:rsidRPr="00C877E5">
        <w:rPr>
          <w:rFonts w:ascii="Arial" w:eastAsia="Times New Roman" w:hAnsi="Arial" w:cs="Arial"/>
          <w:sz w:val="24"/>
          <w:szCs w:val="24"/>
          <w:lang w:eastAsia="cs-CZ"/>
        </w:rPr>
        <w:t xml:space="preserve">.  </w:t>
      </w:r>
      <w:r w:rsidR="00AB3C08">
        <w:rPr>
          <w:rFonts w:ascii="Arial" w:eastAsia="Times New Roman" w:hAnsi="Arial" w:cs="Arial"/>
          <w:sz w:val="24"/>
          <w:szCs w:val="24"/>
          <w:lang w:eastAsia="cs-CZ"/>
        </w:rPr>
        <w:t xml:space="preserve">Paní Roučková dále vedla hudebně pohybový kroužek. Tyto kroužky byly v rámci družiny. </w:t>
      </w:r>
      <w:r w:rsidRPr="00C877E5">
        <w:rPr>
          <w:rFonts w:ascii="Arial" w:eastAsia="Times New Roman" w:hAnsi="Arial" w:cs="Arial"/>
          <w:sz w:val="24"/>
          <w:szCs w:val="24"/>
          <w:lang w:eastAsia="cs-CZ"/>
        </w:rPr>
        <w:t>Ve škole probíhal kroužek anglického jazyka pod vedením paní Červenkové</w:t>
      </w:r>
      <w:r w:rsidR="00AB3C08">
        <w:rPr>
          <w:rFonts w:ascii="Arial" w:eastAsia="Times New Roman" w:hAnsi="Arial" w:cs="Arial"/>
          <w:sz w:val="24"/>
          <w:szCs w:val="24"/>
          <w:lang w:eastAsia="cs-CZ"/>
        </w:rPr>
        <w:t xml:space="preserve"> a 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xterní lektoři vedli </w:t>
      </w:r>
      <w:r w:rsidR="00AB3C08">
        <w:rPr>
          <w:rFonts w:ascii="Arial" w:eastAsia="Times New Roman" w:hAnsi="Arial" w:cs="Arial"/>
          <w:sz w:val="24"/>
          <w:szCs w:val="24"/>
          <w:lang w:eastAsia="cs-CZ"/>
        </w:rPr>
        <w:t>Zumba kroužek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AB3C0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Počty žáků na škole za posledních 5 let</w:t>
      </w:r>
    </w:p>
    <w:p w:rsidR="00C22986" w:rsidRDefault="00C22986" w:rsidP="00AB3C0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</w:t>
      </w:r>
      <w:r w:rsidRPr="00776823">
        <w:rPr>
          <w:rFonts w:ascii="Arial" w:eastAsia="Times New Roman" w:hAnsi="Arial" w:cs="Times New Roman"/>
          <w:sz w:val="24"/>
          <w:szCs w:val="24"/>
          <w:lang w:eastAsia="cs-CZ"/>
        </w:rPr>
        <w:t xml:space="preserve">2011-12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   46 žáků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2012-13    48 žáků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lastRenderedPageBreak/>
        <w:t>2013-14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ab/>
        <w:t xml:space="preserve"> 51 žáků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4009A2">
        <w:rPr>
          <w:rFonts w:ascii="Arial" w:eastAsia="Times New Roman" w:hAnsi="Arial" w:cs="Times New Roman"/>
          <w:sz w:val="24"/>
          <w:szCs w:val="24"/>
          <w:lang w:eastAsia="cs-CZ"/>
        </w:rPr>
        <w:t>201</w:t>
      </w:r>
      <w:r w:rsidR="00AB3C08">
        <w:rPr>
          <w:rFonts w:ascii="Arial" w:eastAsia="Times New Roman" w:hAnsi="Arial" w:cs="Times New Roman"/>
          <w:sz w:val="24"/>
          <w:szCs w:val="24"/>
          <w:lang w:eastAsia="cs-CZ"/>
        </w:rPr>
        <w:t>4</w:t>
      </w:r>
      <w:r w:rsidRPr="004009A2">
        <w:rPr>
          <w:rFonts w:ascii="Arial" w:eastAsia="Times New Roman" w:hAnsi="Arial" w:cs="Times New Roman"/>
          <w:sz w:val="24"/>
          <w:szCs w:val="24"/>
          <w:lang w:eastAsia="cs-CZ"/>
        </w:rPr>
        <w:t>-15</w:t>
      </w:r>
      <w:r w:rsidRPr="004009A2">
        <w:rPr>
          <w:rFonts w:ascii="Arial" w:eastAsia="Times New Roman" w:hAnsi="Arial" w:cs="Times New Roman"/>
          <w:sz w:val="24"/>
          <w:szCs w:val="24"/>
          <w:lang w:eastAsia="cs-CZ"/>
        </w:rPr>
        <w:tab/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 </w:t>
      </w:r>
      <w:r w:rsidRPr="004009A2">
        <w:rPr>
          <w:rFonts w:ascii="Arial" w:eastAsia="Times New Roman" w:hAnsi="Arial" w:cs="Times New Roman"/>
          <w:sz w:val="24"/>
          <w:szCs w:val="24"/>
          <w:lang w:eastAsia="cs-CZ"/>
        </w:rPr>
        <w:t>57 žáků</w:t>
      </w:r>
    </w:p>
    <w:p w:rsidR="00AB3C08" w:rsidRPr="004009A2" w:rsidRDefault="00AB3C08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2015-16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ab/>
        <w:t xml:space="preserve"> 71 žáků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b/>
          <w:sz w:val="24"/>
          <w:szCs w:val="24"/>
          <w:u w:val="single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b/>
          <w:sz w:val="24"/>
          <w:szCs w:val="24"/>
          <w:u w:val="single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b/>
          <w:sz w:val="24"/>
          <w:szCs w:val="24"/>
          <w:u w:val="single"/>
          <w:lang w:eastAsia="cs-CZ"/>
        </w:rPr>
      </w:pPr>
      <w:r w:rsidRPr="00C877E5">
        <w:rPr>
          <w:rFonts w:ascii="Arial" w:eastAsia="Times New Roman" w:hAnsi="Arial" w:cs="Times New Roman"/>
          <w:b/>
          <w:sz w:val="24"/>
          <w:szCs w:val="24"/>
          <w:u w:val="single"/>
          <w:lang w:eastAsia="cs-CZ"/>
        </w:rPr>
        <w:t>Aktivity školního roku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Září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BESIP – nácvik bezpečné cesty do školy a ze školy pro žáky 1. Ročníku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Zahájení plaveckého výcviku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Říjen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Společné fotografování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Návštěva místní knihovny</w:t>
      </w:r>
    </w:p>
    <w:p w:rsidR="003F7E97" w:rsidRDefault="003F7E97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Kytarový koncert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Listopad</w:t>
      </w:r>
    </w:p>
    <w:p w:rsidR="00C22986" w:rsidRPr="00C877E5" w:rsidRDefault="003F7E97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Praha – Vítkov, vzdělávací program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Prosinec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divadelní představení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vystoupení pro důchodce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Vánoční besídka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Vystoupení žáků pro veřejnost v husitském kostele</w:t>
      </w:r>
    </w:p>
    <w:p w:rsidR="003F7E97" w:rsidRPr="00C877E5" w:rsidRDefault="003F7E97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Hurá do opery, vzdělávací program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Leden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Den otevřených dveří, návštěva dětí z MŠ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Zápis do 1. ročníku pro rok 201</w:t>
      </w:r>
      <w:r w:rsidR="003F7E97">
        <w:rPr>
          <w:rFonts w:ascii="Arial" w:eastAsia="Times New Roman" w:hAnsi="Arial" w:cs="Times New Roman"/>
          <w:sz w:val="24"/>
          <w:szCs w:val="24"/>
          <w:lang w:eastAsia="cs-CZ"/>
        </w:rPr>
        <w:t>6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-201</w:t>
      </w:r>
      <w:r w:rsidR="003F7E97">
        <w:rPr>
          <w:rFonts w:ascii="Arial" w:eastAsia="Times New Roman" w:hAnsi="Arial" w:cs="Times New Roman"/>
          <w:sz w:val="24"/>
          <w:szCs w:val="24"/>
          <w:lang w:eastAsia="cs-CZ"/>
        </w:rPr>
        <w:t>7</w:t>
      </w:r>
    </w:p>
    <w:p w:rsidR="00C22986" w:rsidRDefault="003F7E97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Život dětí v Africe – beseda (multikulturní výchova)</w:t>
      </w:r>
    </w:p>
    <w:p w:rsidR="003F7E97" w:rsidRDefault="003F7E97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Tonda, obal na cestách – beseda (</w:t>
      </w:r>
      <w:r w:rsidR="00FA3C04">
        <w:rPr>
          <w:rFonts w:ascii="Arial" w:eastAsia="Times New Roman" w:hAnsi="Arial" w:cs="Times New Roman"/>
          <w:sz w:val="24"/>
          <w:szCs w:val="24"/>
          <w:lang w:eastAsia="cs-CZ"/>
        </w:rPr>
        <w:t>ekologická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 výchova)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Ukončení plaveckého výcviku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Pololetní vysvědčení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Únor</w:t>
      </w:r>
    </w:p>
    <w:p w:rsidR="00C22986" w:rsidRDefault="00FA3C04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pololetní prázdniny</w:t>
      </w:r>
    </w:p>
    <w:p w:rsidR="00FA3C04" w:rsidRDefault="00FA3C04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jarní prázdniny</w:t>
      </w:r>
    </w:p>
    <w:p w:rsidR="00FA3C04" w:rsidRDefault="00FA3C04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zahájení přístavby školy</w:t>
      </w:r>
    </w:p>
    <w:p w:rsidR="00FA3C04" w:rsidRPr="00C877E5" w:rsidRDefault="00FA3C04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Enviromentální výchova – cyklus přednášek letiště Praha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Březen</w:t>
      </w:r>
    </w:p>
    <w:p w:rsidR="00C22986" w:rsidRPr="00C877E5" w:rsidRDefault="00C22986" w:rsidP="00EC40D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Dopravní výchova – BESIP a paní Tupá - přednáška</w:t>
      </w:r>
    </w:p>
    <w:p w:rsidR="00C22986" w:rsidRDefault="00FA3C04" w:rsidP="00EC40D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projekt „Žijí mezi námi“ zaměřený na postižené spoluobčany (neslyšící, nevidomí a tělesně postižení)</w:t>
      </w:r>
    </w:p>
    <w:p w:rsidR="00C22986" w:rsidRPr="00C877E5" w:rsidRDefault="00C22986" w:rsidP="00EC40D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Enviromentální výchova v projektu Letiště Praha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Duben</w:t>
      </w:r>
    </w:p>
    <w:p w:rsidR="00C22986" w:rsidRDefault="00C22986" w:rsidP="00EC40D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 xml:space="preserve">Enviromentální výchova v projektu Letiště Praha </w:t>
      </w:r>
    </w:p>
    <w:p w:rsidR="00C22986" w:rsidRDefault="00C22986" w:rsidP="00EC40D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lastRenderedPageBreak/>
        <w:t>Čarodějnice lidové zvyky</w:t>
      </w:r>
    </w:p>
    <w:p w:rsidR="00FA3C04" w:rsidRPr="00C877E5" w:rsidRDefault="00FA3C04" w:rsidP="00EC40D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Návštěva botanické zahrady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Květen</w:t>
      </w:r>
    </w:p>
    <w:p w:rsidR="00C22986" w:rsidRDefault="00FA3C04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Společné fotografování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Enviromentální výchova v projektu Letiště Praha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Červen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Návštěva letiště</w:t>
      </w:r>
    </w:p>
    <w:p w:rsidR="00C22986" w:rsidRDefault="00FA3C04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Život lesů – vzdělávací program</w:t>
      </w:r>
    </w:p>
    <w:p w:rsidR="00FA3C04" w:rsidRPr="00C877E5" w:rsidRDefault="00FA3C04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beseda o včelách</w:t>
      </w:r>
    </w:p>
    <w:p w:rsidR="00C22986" w:rsidRDefault="00FA3C04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sz w:val="24"/>
          <w:szCs w:val="24"/>
          <w:lang w:eastAsia="cs-CZ"/>
        </w:rPr>
        <w:t>rozloučení s páťáky -  vystoupení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Školní výlet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Slavnostní závěr školního roku</w:t>
      </w:r>
      <w:r w:rsidR="00FA3C04">
        <w:rPr>
          <w:rFonts w:ascii="Arial" w:eastAsia="Times New Roman" w:hAnsi="Arial" w:cs="Times New Roman"/>
          <w:sz w:val="24"/>
          <w:szCs w:val="24"/>
          <w:lang w:eastAsia="cs-CZ"/>
        </w:rPr>
        <w:t xml:space="preserve"> – předčasné 23. 6. z důvodu havárie kanalizace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Protidrogová prevence</w:t>
      </w:r>
    </w:p>
    <w:p w:rsidR="00C22986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Dětem je nabízena mimoškolní činnost. Rodiče byli na problematiku drog upozorněni na třídních schůzkách. Děti s vyučujícími pracovaly s knihou „Nenič své chytré tělo“. Naše škola nemá žádné problémy se zneužíváním návykových látek dětmi, což je dáno jejich věkem.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Hospodaření školy a investiční akce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      Výroční zpráva o hospodaření je přílohou této zprávy.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V letošním roce nebyly podány žádné informace podle zákona č. 106/1999 Sb.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Závěr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ab/>
        <w:t xml:space="preserve">        V průběhu tohoto školního roku jsme splnili úkoly dané nám učebním plánem a osnovami. Plán práce byl dodržen.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     Škola je velmi dobře vybavena po materiální a technické stránce a toto vybavení je neustále doplňováno. V letošním roce opět očekáváme přírůstek žáků. O školu v obci je ze strany rodičů zájem. </w:t>
      </w:r>
      <w:r w:rsidR="00FA3C04">
        <w:rPr>
          <w:rFonts w:ascii="Arial" w:eastAsia="Times New Roman" w:hAnsi="Arial" w:cs="Times New Roman"/>
          <w:sz w:val="24"/>
          <w:szCs w:val="24"/>
          <w:lang w:eastAsia="cs-CZ"/>
        </w:rPr>
        <w:t xml:space="preserve">Letos poprvé odcházejí žáci až z pátého ročníku. 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Vzhledem k neustále stoupajícímu počtu žáků je potřeba opět rozšířit výukové prostory školy. </w:t>
      </w:r>
      <w:r w:rsidR="00FA3C04">
        <w:rPr>
          <w:rFonts w:ascii="Arial" w:eastAsia="Times New Roman" w:hAnsi="Arial" w:cs="Times New Roman"/>
          <w:sz w:val="24"/>
          <w:szCs w:val="24"/>
          <w:lang w:eastAsia="cs-CZ"/>
        </w:rPr>
        <w:t xml:space="preserve">Původní tělovýchovný sálek bude od příštího školního roku sloužit jako kmenová učebna. Přístavba školy bohužel nebude sloužit prioritně škole, očekáváme zhoršení podmínek pro výuku tělesné výchovy a </w:t>
      </w:r>
      <w:r w:rsidR="005F4CCF">
        <w:rPr>
          <w:rFonts w:ascii="Arial" w:eastAsia="Times New Roman" w:hAnsi="Arial" w:cs="Times New Roman"/>
          <w:sz w:val="24"/>
          <w:szCs w:val="24"/>
          <w:lang w:eastAsia="cs-CZ"/>
        </w:rPr>
        <w:t xml:space="preserve">pro družinu. Místnost vhodná pro činnost družiny zcela chybí.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Výroční zprávu zpracovala Mgr. Iva Zavadilová a schválila ji pedagogická rada dne 1.9. 201</w:t>
      </w:r>
      <w:r w:rsidR="005F4CCF">
        <w:rPr>
          <w:rFonts w:ascii="Arial" w:eastAsia="Times New Roman" w:hAnsi="Arial" w:cs="Times New Roman"/>
          <w:sz w:val="24"/>
          <w:szCs w:val="24"/>
          <w:lang w:eastAsia="cs-CZ"/>
        </w:rPr>
        <w:t>6</w:t>
      </w: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>.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V Tuchoměřicích 1. září </w:t>
      </w:r>
      <w:r>
        <w:rPr>
          <w:rFonts w:ascii="Arial" w:eastAsia="Times New Roman" w:hAnsi="Arial" w:cs="Times New Roman"/>
          <w:sz w:val="24"/>
          <w:szCs w:val="24"/>
          <w:lang w:eastAsia="cs-CZ"/>
        </w:rPr>
        <w:t>201</w:t>
      </w:r>
      <w:r w:rsidR="005F4CCF">
        <w:rPr>
          <w:rFonts w:ascii="Arial" w:eastAsia="Times New Roman" w:hAnsi="Arial" w:cs="Times New Roman"/>
          <w:sz w:val="24"/>
          <w:szCs w:val="24"/>
          <w:lang w:eastAsia="cs-CZ"/>
        </w:rPr>
        <w:t>6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C877E5">
        <w:rPr>
          <w:rFonts w:ascii="Arial" w:eastAsia="Times New Roman" w:hAnsi="Arial" w:cs="Times New Roman"/>
          <w:sz w:val="24"/>
          <w:szCs w:val="24"/>
          <w:lang w:eastAsia="cs-CZ"/>
        </w:rPr>
        <w:t xml:space="preserve"> </w:t>
      </w: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cs-CZ"/>
        </w:rPr>
      </w:pPr>
    </w:p>
    <w:p w:rsidR="00C22986" w:rsidRPr="00C877E5" w:rsidRDefault="00C22986" w:rsidP="00C877E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2986" w:rsidRPr="00C877E5" w:rsidRDefault="00C22986" w:rsidP="00C877E5"/>
    <w:tbl>
      <w:tblPr>
        <w:tblW w:w="84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1194"/>
        <w:gridCol w:w="2305"/>
        <w:gridCol w:w="2020"/>
      </w:tblGrid>
      <w:tr w:rsidR="005F4CCF" w:rsidRPr="005F4CCF" w:rsidTr="005F4CCF">
        <w:trPr>
          <w:trHeight w:val="540"/>
        </w:trPr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  <w:lastRenderedPageBreak/>
              <w:t>Základní škola Tuchoměřice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540"/>
        </w:trPr>
        <w:tc>
          <w:tcPr>
            <w:tcW w:w="8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44"/>
                <w:szCs w:val="44"/>
                <w:lang w:eastAsia="cs-CZ"/>
              </w:rPr>
              <w:t xml:space="preserve">Výroční zpráva o hospodaření 2015  </w:t>
            </w:r>
            <w:r w:rsidRPr="005F4CC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 Kč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300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   Příjmy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</w:t>
            </w:r>
            <w:r w:rsidRPr="005F4CC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Výdaje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částka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druh výdajů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částka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Krajský úřad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3 102 353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mzdy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2 238 504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OPPP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odvody 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761 091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ONIV  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80 373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22 385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účelové dotace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3 102 353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Obec Tuchoměřice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432 250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investiční výdaje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neinvestiční výdaje ***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648 327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 příjmy: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137 730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Zúčtování fondů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3 672 333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3 750 680</w:t>
            </w: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Hospodářský výsledek: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-78 347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sponzorské dary ****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   ZP, soc. poj., pojištění odpovědnosti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8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 včetně pojištění odpovědnosti, náhrad mezd, bez účelových dotací,</w:t>
            </w:r>
          </w:p>
        </w:tc>
      </w:tr>
      <w:tr w:rsidR="005F4CCF" w:rsidRPr="005F4CCF" w:rsidTr="005F4CCF">
        <w:trPr>
          <w:trHeight w:val="255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do celkové výše dotace KÚ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  včetně překročení rozpočtu ONIV z KÚ a mezd hrazených obcí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F4CC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  sponzorské dary (jsou v rezervním fondu)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F4CCF" w:rsidRPr="005F4CCF" w:rsidTr="005F4CCF">
        <w:trPr>
          <w:trHeight w:val="255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CCF" w:rsidRPr="005F4CCF" w:rsidRDefault="005F4CCF" w:rsidP="005F4CC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C22986" w:rsidRDefault="00C22986" w:rsidP="00C877E5"/>
    <w:p w:rsidR="005F4CCF" w:rsidRPr="00C877E5" w:rsidRDefault="005F4CCF" w:rsidP="00C877E5">
      <w:r>
        <w:t xml:space="preserve">Záporný hospodářský výsledek vznikl vyššími náklady na vybavení – interaktivní tabule. Byl pokryt z rezervního fondu. </w:t>
      </w:r>
    </w:p>
    <w:p w:rsidR="00C22986" w:rsidRPr="00C877E5" w:rsidRDefault="00C22986" w:rsidP="00C877E5"/>
    <w:p w:rsidR="00C22986" w:rsidRPr="00C877E5" w:rsidRDefault="00C22986" w:rsidP="00C877E5"/>
    <w:p w:rsidR="00C22986" w:rsidRDefault="00C22986"/>
    <w:p w:rsidR="00C22986" w:rsidRDefault="00C22986"/>
    <w:p w:rsidR="00C22986" w:rsidRDefault="00C22986"/>
    <w:p w:rsidR="00E97558" w:rsidRDefault="00E97558"/>
    <w:sectPr w:rsidR="00E97558" w:rsidSect="003B62B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13" w:rsidRDefault="003E2F13">
      <w:pPr>
        <w:spacing w:after="0" w:line="240" w:lineRule="auto"/>
      </w:pPr>
      <w:r>
        <w:separator/>
      </w:r>
    </w:p>
  </w:endnote>
  <w:endnote w:type="continuationSeparator" w:id="0">
    <w:p w:rsidR="003E2F13" w:rsidRDefault="003E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B6" w:rsidRDefault="003E2F13">
    <w:pPr>
      <w:pStyle w:val="Zpat"/>
      <w:jc w:val="center"/>
      <w:rPr>
        <w:rStyle w:val="slostrnky"/>
        <w:sz w:val="20"/>
      </w:rPr>
    </w:pPr>
  </w:p>
  <w:p w:rsidR="003B62B6" w:rsidRDefault="00AB3C08">
    <w:pPr>
      <w:pStyle w:val="Zpat"/>
      <w:jc w:val="center"/>
      <w:rPr>
        <w:sz w:val="20"/>
      </w:rPr>
    </w:pPr>
    <w:r>
      <w:rPr>
        <w:rStyle w:val="slostrnky"/>
        <w:sz w:val="20"/>
      </w:rPr>
      <w:t xml:space="preserve">-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A30683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13" w:rsidRDefault="003E2F13">
      <w:pPr>
        <w:spacing w:after="0" w:line="240" w:lineRule="auto"/>
      </w:pPr>
      <w:r>
        <w:separator/>
      </w:r>
    </w:p>
  </w:footnote>
  <w:footnote w:type="continuationSeparator" w:id="0">
    <w:p w:rsidR="003E2F13" w:rsidRDefault="003E2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83"/>
    <w:rsid w:val="000B629D"/>
    <w:rsid w:val="0010789D"/>
    <w:rsid w:val="003E2F13"/>
    <w:rsid w:val="003F7E97"/>
    <w:rsid w:val="00437AF7"/>
    <w:rsid w:val="00570783"/>
    <w:rsid w:val="005D208D"/>
    <w:rsid w:val="005F4CCF"/>
    <w:rsid w:val="007160E1"/>
    <w:rsid w:val="007A50AD"/>
    <w:rsid w:val="00826CFD"/>
    <w:rsid w:val="009569B7"/>
    <w:rsid w:val="00962CE8"/>
    <w:rsid w:val="00973DD1"/>
    <w:rsid w:val="00A30683"/>
    <w:rsid w:val="00AB3C08"/>
    <w:rsid w:val="00BB2E86"/>
    <w:rsid w:val="00C22986"/>
    <w:rsid w:val="00D71105"/>
    <w:rsid w:val="00E97558"/>
    <w:rsid w:val="00FA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2D84A5C-9203-4762-84B7-C901622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29D"/>
  </w:style>
  <w:style w:type="paragraph" w:styleId="Nadpis1">
    <w:name w:val="heading 1"/>
    <w:basedOn w:val="Normln"/>
    <w:next w:val="Normln"/>
    <w:link w:val="Nadpis1Char"/>
    <w:qFormat/>
    <w:rsid w:val="000B629D"/>
    <w:pPr>
      <w:keepNext/>
      <w:widowControl w:val="0"/>
      <w:spacing w:after="0" w:line="240" w:lineRule="auto"/>
      <w:ind w:right="566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B629D"/>
    <w:pPr>
      <w:keepNext/>
      <w:widowControl w:val="0"/>
      <w:tabs>
        <w:tab w:val="left" w:pos="567"/>
      </w:tabs>
      <w:spacing w:after="0" w:line="240" w:lineRule="auto"/>
      <w:ind w:right="566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B629D"/>
    <w:pPr>
      <w:keepNext/>
      <w:tabs>
        <w:tab w:val="left" w:pos="709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629D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B6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B6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B629D"/>
    <w:pPr>
      <w:spacing w:after="0" w:line="240" w:lineRule="auto"/>
      <w:jc w:val="center"/>
    </w:pPr>
    <w:rPr>
      <w:rFonts w:ascii="Tahoma" w:eastAsia="Times New Roman" w:hAnsi="Tahoma" w:cs="Tahoma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B629D"/>
    <w:rPr>
      <w:rFonts w:ascii="Tahoma" w:eastAsia="Times New Roman" w:hAnsi="Tahoma" w:cs="Tahoma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2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2986"/>
  </w:style>
  <w:style w:type="character" w:styleId="slostrnky">
    <w:name w:val="page number"/>
    <w:basedOn w:val="Standardnpsmoodstavce"/>
    <w:rsid w:val="00C22986"/>
  </w:style>
  <w:style w:type="paragraph" w:styleId="Textbubliny">
    <w:name w:val="Balloon Text"/>
    <w:basedOn w:val="Normln"/>
    <w:link w:val="TextbublinyChar"/>
    <w:uiPriority w:val="99"/>
    <w:semiHidden/>
    <w:unhideWhenUsed/>
    <w:rsid w:val="0082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IZavadilova</dc:creator>
  <cp:keywords/>
  <dc:description/>
  <cp:lastModifiedBy>Iva Zavadilová</cp:lastModifiedBy>
  <cp:revision>2</cp:revision>
  <cp:lastPrinted>2016-10-03T13:57:00Z</cp:lastPrinted>
  <dcterms:created xsi:type="dcterms:W3CDTF">2017-01-31T09:22:00Z</dcterms:created>
  <dcterms:modified xsi:type="dcterms:W3CDTF">2017-01-31T09:22:00Z</dcterms:modified>
</cp:coreProperties>
</file>